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почвенный шнек диаметром 100 мм для мотобура.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почвенный шнек диаметром 100 мм для мотобура.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54"/>
        <w:gridCol w:w="4946"/>
        <w:gridCol w:w="2754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5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Почвенный шнек для мотобура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46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Назначение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5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бурение грунта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5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46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Диаметр шнека,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5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100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5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46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Диаметр посадочного соединения,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5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20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5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46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Тип спирали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5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однозаходная</w:t>
            </w:r>
            <w:r/>
          </w:p>
        </w:tc>
      </w:tr>
      <w:tr>
        <w:tblPrEx/>
        <w:trPr>
          <w:cantSplit/>
          <w:trHeight w:val="723"/>
        </w:trPr>
        <w:tc>
          <w:tcPr>
            <w:tcW w:w="275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46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Совместимость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5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мотобур CHAMPION AG252 или полностью совместимый по посадочному соединению и конструкции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Посадочное соединение шнека должно иметь диаметр 20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Шнек должен обеспечивать штатную установку и работу с мотобуром CHAMPION AG252 без переходных элементов.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почвенный шнек диаметром 100 мм для мотобура: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232"/>
        <w:gridCol w:w="4143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23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Почвенный шнек диаметром 100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4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23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Заводская упаковка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4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почвенный шнек диаметром 100 мм для мотобура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2026-08-19T05:39:40Z</dcterms:modified>
  <cp:category/>
</cp:coreProperties>
</file>